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160" w:line="259" w:lineRule="auto"/>
        <w:jc w:val="center"/>
        <w:rPr>
          <w:rFonts w:ascii="Calibri" w:cs="Calibri" w:eastAsia="Calibri" w:hAnsi="Calibri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JOB DESCRIPTION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7305"/>
        <w:tblGridChange w:id="0">
          <w:tblGrid>
            <w:gridCol w:w="2055"/>
            <w:gridCol w:w="7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CHIEF FINANCE OFFICER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Reports 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yellow"/>
                <w:rtl w:val="0"/>
              </w:rPr>
              <w:t xml:space="preserve">[INSERT NAME, TITLE] 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hd w:fill="d9d9d9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Chief Finance Officer (CFO)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 responsible for cash flow tracking and financial planning, as well as analyzing [Organization Name]’s financial strengths and weaknesses and recommending corrective actions. </w:t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CFO takes care of evaluating  financial risks and opportunities, as well as supervising and managing lower-level financial managers. They also assist in the establishment and maintenance of financial goals, objectives, and budgets.</w:t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position is a senior executive who is in charge of a company's financial operations. The CFO's role is similar to that of a treasurer or controller in that they are responsible for managing the finance and accounting divisions as well as ensuring that the company's financial reports are accurate and completed on time.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hd w:fill="d9d9d9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Overall Responsibilities include but are not limited to: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Supervising the team in charge of financial reporting and budgeting.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Coaching, mentoring, and providing leadership development at all levels of the finance organization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Examining financial reports for cost-cutting opportunities.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Supervising the preparation of all financial statements, including income statements, balance sheets, shareholder reports, tax returns, and governmental agency reports.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Comparing sales and profit projections to actual figures.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Comparing  budgeted expenses to actual expenses.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Overseeing any necessary adjustments to future projections and budgets.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Examining the planning process and making suggestions for improvements to current methods.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Analyzing operations to identify areas that need to be reorganized, downsized, or eliminated.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Coordinates planning with the President and other executives to establish priorities for the planning process.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Studying and projecting long-term economic trends to have an impact on future sales and market share growth.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Identifying opportunities for product expansion into new markets.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Overseeing fund investments and collaborating with investment bankers to raise additional capital for expansion.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Performing additional related duties.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hd w:fill="d9d9d9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Bachelor’s degree or post graduate degree  in fields such as accounting, investment banking, or financial analysis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XX years of experience in a senior management position.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Outstanding financial and accounting background, including knowledge of profit and loss, balance sheet and cash flow management, and general finance and budgeting.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Keen understanding of regulations that include provisions such as fraud prevention and financial information disclosure.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Experience with budgeting, public accounting, and cash flow.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Excellent knowledge of software required to run a modern finance and accounting operation</w:t>
      </w:r>
    </w:p>
    <w:p w:rsidR="00000000" w:rsidDel="00000000" w:rsidP="00000000" w:rsidRDefault="00000000" w:rsidRPr="00000000" w14:paraId="0000002A">
      <w:pPr>
        <w:pageBreakBefore w:val="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d9d9d9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auto" w:val="clear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written and oral communication skills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leadership and management skills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think strategically and see the big picture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negotiating skills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quickly grasp new issues and make sound decisions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Capability to instill confidence and foster trust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work under pressure, effectively plan personal workload, and delegate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ability in a fast-paced environment</w:t>
      </w:r>
    </w:p>
    <w:p w:rsidR="00000000" w:rsidDel="00000000" w:rsidP="00000000" w:rsidRDefault="00000000" w:rsidRPr="00000000" w14:paraId="0000003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hd w:fill="d9d9d9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auto" w:val="clear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Standard schedule: 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SCHEDULE e.g. 8 AM to 5 PM, Mondays to Fridays]/flexible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require overtime or working long hours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Prolonged periods of working primarily sitting in front of a computer</w:t>
      </w:r>
    </w:p>
    <w:p w:rsidR="00000000" w:rsidDel="00000000" w:rsidP="00000000" w:rsidRDefault="00000000" w:rsidRPr="00000000" w14:paraId="0000003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tabs>
        <w:tab w:val="center" w:pos="4680"/>
      </w:tabs>
      <w:jc w:val="center"/>
      <w:rPr>
        <w:b w:val="1"/>
      </w:rPr>
    </w:pPr>
    <w:r w:rsidDel="00000000" w:rsidR="00000000" w:rsidRPr="00000000">
      <w:rPr>
        <w:rFonts w:ascii="Arial" w:cs="Arial" w:eastAsia="Arial" w:hAnsi="Arial"/>
        <w:shd w:fill="auto" w:val="clear"/>
      </w:rPr>
      <w:drawing>
        <wp:inline distB="114300" distT="114300" distL="114300" distR="114300">
          <wp:extent cx="2199132" cy="648462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highlight w:val="white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uZ96Ynl8+Cj5LHPWBhYqvMMQA==">AMUW2mX/HIMCHp379TKdUHrZScCEsvEfvFMRGt3i/Pw4J/7o9Hps4H+HCjH133eCVRAQwqFNXuWdJrmJ9QN3M2dEaZYUyIOhSDmHtFveQmoQyy76utl8pHn8omPgBhYupFKhNVX0JbZT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